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6379" w:hanging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Унечского района 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24.06.2022  № 156</w:t>
      </w:r>
    </w:p>
    <w:p>
      <w:pPr>
        <w:pStyle w:val="BodyText"/>
        <w:bidi w:val="0"/>
        <w:jc w:val="left"/>
        <w:rPr/>
      </w:pPr>
      <w:r>
        <w:rPr/>
      </w:r>
      <w:bookmarkStart w:id="0" w:name="Par44"/>
      <w:bookmarkStart w:id="1" w:name="Par44"/>
      <w:bookmarkEnd w:id="1"/>
    </w:p>
    <w:p>
      <w:pPr>
        <w:pStyle w:val="BodyText"/>
        <w:bidi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ПРОВЕРОЧНЫЙ ЛИСТ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(список контрольных вопросов), применяемый при осуществлении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муниципального контроля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на автомобильном транспорте, городском наземном электрическом транспорте и в дорожном хозяйстве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в отношении юридических лиц и индивидуальных предпринимателей</w:t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           «__» __________ 20 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 контрольного мероприятия)(дата заполнения листа)</w:t>
      </w:r>
    </w:p>
    <w:p>
      <w:pPr>
        <w:pStyle w:val="Normal"/>
        <w:widowControl w:val="false"/>
        <w:bidi w:val="0"/>
        <w:jc w:val="both"/>
        <w:textAlignment w:val="baseline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1. Вид    контроля,    включенный    в    единый    реестр     видов    контроля: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____________________________________________________________________________________________________________________________________________________________________________________________________________3. Вид контрольного мероприятия: 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____________________________________________________________________________________________________________________________________________________________________________________________________________4. Объект муниципального контроля, в отношении которого проводится контрольное мероприятие: 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5. Фамилия, имя и отчество (при наличии) гражданина или индивидуального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6. Место   (места)  проведения   контрольного   мероприятия   с   заполнением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проверочного листа: 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____________________________________________________________________________________________________________________________________________________________________________________________________________8. Учётный номер контрольного мероприятия: 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843" w:type="dxa"/>
        <w:jc w:val="left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406"/>
        <w:gridCol w:w="426"/>
        <w:gridCol w:w="426"/>
        <w:gridCol w:w="708"/>
        <w:gridCol w:w="3260"/>
        <w:gridCol w:w="992"/>
      </w:tblGrid>
      <w:tr>
        <w:trPr/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Вопрос, отражающий содержание обязательных требований</w:t>
            </w:r>
            <w:hyperlink w:anchor="P376">
              <w:r>
                <w:rPr>
                  <w:rStyle w:val="Hyperlink"/>
                  <w:rFonts w:cs="Times New Roman"/>
                  <w:lang w:eastAsia="en-US"/>
                </w:rPr>
                <w:t>P376</w:t>
              </w:r>
            </w:hyperlink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Приме-чание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в случае, если в качестве ответа на вопрос указано "неприменимо")</w:t>
            </w:r>
          </w:p>
        </w:tc>
      </w:tr>
      <w:tr>
        <w:trPr>
          <w:trHeight w:val="1089" w:hRule="atLeast"/>
          <w:cantSplit w:val="true"/>
        </w:trPr>
        <w:tc>
          <w:tcPr>
            <w:tcW w:w="6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Непри-менимо</w:t>
            </w:r>
          </w:p>
        </w:tc>
        <w:tc>
          <w:tcPr>
            <w:tcW w:w="3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Соблюдаются  ли  состав  и  требования  к  содержанию  разделов  проектной  документации  автомобильных  дорог,  их  участков,  состав  и  требования  к  содержанию  разделов  проектной  документации  автомобильных  дорог,  их  участков  применительно  к  отдельным  этапам  строительства,  реконструкции  автомобильных  дорог,  их  участков,  а  также  состав  и  требования  к  содержанию  разделов  проектной  документации  автомобильных  дорог,  их  участков,  представляемой  на  экспертизу  проектной  документации  и  в  органы  государственного  строительного  надзора?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2">
              <w:r>
                <w:rPr>
                  <w:rStyle w:val="ListLabel4"/>
                </w:rPr>
                <w:t>пункт  3  статьи  16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«</w:t>
            </w:r>
            <w:r>
              <w:fldChar w:fldCharType="begin"/>
            </w:r>
            <w:r>
              <w:rPr>
                <w:rStyle w:val="ListLabel5"/>
              </w:rPr>
              <w:instrText xml:space="preserve"> HYPERLINK "http://pravo-search.minjust.ru:8080/bigs/showDocument.html?id=313AE05C-60D9-4F9E-8A34-D942808694A8" \l "_blank"</w:instrText>
            </w:r>
            <w:r>
              <w:rPr>
                <w:rStyle w:val="ListLabel5"/>
              </w:rPr>
              <w:fldChar w:fldCharType="separate"/>
            </w:r>
            <w:r>
              <w:rPr>
                <w:rStyle w:val="ListLabel5"/>
              </w:rPr>
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</w:r>
            <w:r>
              <w:rPr>
                <w:rStyle w:val="ListLabel5"/>
              </w:rPr>
              <w:fldChar w:fldCharType="end"/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» (далее — Закон №257-ФЗ)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Согласовано  ли  разрешение  на  строительство,  реконструкцию  автомобильных  дорог  органом  местного  самоуправления?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3">
              <w:r>
                <w:rPr>
                  <w:rStyle w:val="ListLabel4"/>
                </w:rPr>
                <w:t>пункт  4  статьи  16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4">
              <w:r>
                <w:rPr>
                  <w:rStyle w:val="ListLabel4"/>
                </w:rPr>
                <w:t>приказ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Минтранса  России  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Соблюдается  ли  состав  работ  по  ремонту  автомобильных  дорог?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5">
              <w:r>
                <w:rPr>
                  <w:rStyle w:val="ListLabel4"/>
                </w:rPr>
                <w:t>пункты  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 </w:t>
            </w:r>
            <w:hyperlink r:id="rId6">
              <w:r>
                <w:rPr>
                  <w:rStyle w:val="ListLabel4"/>
                </w:rPr>
                <w:t>2  статьи 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7">
              <w:r>
                <w:rPr>
                  <w:rStyle w:val="ListLabel4"/>
                </w:rPr>
                <w:t>пункт  3  статьи 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</w:t>
            </w:r>
          </w:p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8">
              <w:r>
                <w:rPr>
                  <w:rStyle w:val="ListLabel4"/>
                </w:rPr>
                <w:t>приказ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Минтранса  России  от  16.11.2012  №402  «</w:t>
            </w:r>
            <w:r>
              <w:fldChar w:fldCharType="begin"/>
            </w:r>
            <w:r>
              <w:rPr>
                <w:rStyle w:val="ListLabel5"/>
              </w:rPr>
              <w:instrText xml:space="preserve"> HYPERLINK "http://pravo-search.minjust.ru:8080/bigs/showDocument.html?id=E5BB8E40-60D6-4349-A187-BB63B310025C" \l "_blank"</w:instrText>
            </w:r>
            <w:r>
              <w:rPr>
                <w:rStyle w:val="ListLabel5"/>
              </w:rPr>
              <w:fldChar w:fldCharType="separate"/>
            </w:r>
            <w:r>
              <w:rPr>
                <w:rStyle w:val="ListLabel5"/>
              </w:rPr>
              <w:t>Об  утверждении  Классификации  работ  по  капитальному  ремонту,  ремонту  и  содержанию  автомобильных  дорог</w:t>
            </w:r>
            <w:r>
              <w:rPr>
                <w:rStyle w:val="ListLabel5"/>
              </w:rPr>
              <w:fldChar w:fldCharType="end"/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Соблюдается  ли  состав  работ  по  содержанию  автомобильных  дорог?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9">
              <w:r>
                <w:rPr>
                  <w:rStyle w:val="ListLabel4"/>
                </w:rPr>
                <w:t>пункт  1  статьи  18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ремонт  автомобильных  дорог  в  соответствии  с  требованиями  технических  регламентов  в  целях  поддержания  бесперебойного  движения  транспортных  средств  по  автомобильным  дорогам  и  безопасных  условий  такого  движения,  а  также  обеспечения  сохранности  автомобильных  дорог?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ListLabel4"/>
              </w:rPr>
              <w:t>п</w:t>
            </w:r>
            <w:hyperlink r:id="rId10">
              <w:r>
                <w:rPr>
                  <w:rStyle w:val="ListLabel4"/>
                </w:rPr>
                <w:t>ункт  3  статьи  16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>
                <w:rStyle w:val="ListLabel4"/>
                <w:u w:val="single"/>
              </w:rPr>
            </w:pPr>
            <w:r>
              <w:rPr>
                <w:u w:val="single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1">
              <w:r>
                <w:rPr>
                  <w:rStyle w:val="ListLabel4"/>
                </w:rPr>
                <w:t>пункт  2  статьи  19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прокладка,  перенос,  переустройство,  эксплуатация  инженерных  коммуникаций  в  границах  полос  отвода  и  придорожных  полос  автомобильных  дорог  в  соответствии  с  техническими  требованиями  и  условиями,  установленными  договором  между  владельцами  автомобильных  дорог  и  инженерных  коммуникаций?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2">
              <w:r>
                <w:rPr>
                  <w:rStyle w:val="ListLabel4"/>
                </w:rPr>
                <w:t>пункт  2  статьи  19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Выдано  ли  органом  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придорожных  полос  автомобильной  дороги?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3">
              <w:r>
                <w:rPr>
                  <w:rStyle w:val="ListLabel4"/>
                </w:rPr>
                <w:t>пункт  5  статьи  19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размещение  объектов  дорожного  сервиса  в  границах  полосы  отвода  автомобильной  дороги  в  соответствии  с  документацией  по  планировке  территории  и  требованиями  технических  регламентов?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4">
              <w:r>
                <w:rPr>
                  <w:rStyle w:val="ListLabel4"/>
                </w:rPr>
                <w:t>пункт  1  статьи  22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ней  сооружений  и  иных  объектов?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5">
              <w:r>
                <w:rPr>
                  <w:rStyle w:val="ListLabel4"/>
                </w:rPr>
                <w:t>пункт  3  статьи  22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  разрешение  на  строительство?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6">
              <w:r>
                <w:rPr>
                  <w:rStyle w:val="ListLabel4"/>
                </w:rPr>
                <w:t>пункт  4  статьи  22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Оборудованы  ли  объекты  дорожного  сервиса  стоянками  и  местами  остановки  транспортных  средств,  а  также  подъездами,  съездами  и  примыканиями  в  целях  обеспечения  доступа  к  ним  с  автомобильной  дороги?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7">
              <w:r>
                <w:rPr>
                  <w:rStyle w:val="ListLabel4"/>
                </w:rPr>
                <w:t>пункт  6  статьи  22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Осуществляется  ли  в  границах  полос  отвода  автомобильной  дороги  выполнение  работ,  не  связанных  со  строительством,  с  реконструкцией,  капитальным  ремонтом,  ремонтом  и  содержанием  автомобильной  дороги,  а  также  с  размещением  объектов  дорожного  сервиса?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8">
              <w:r>
                <w:rPr>
                  <w:rStyle w:val="ListLabel4"/>
                </w:rPr>
                <w:t>пункт  3  статьи  25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Размещены  ли  в  границах  полос  отвода  автомобильной  дороги  здания,  строения,  сооружения  и  другие  объекты,  не  предназначенные  для  обслуживания  автомобильной  дороги,  ее  строительства,  реконструкции,  капитального  ремонта,  ремонта  и  содержания  и  не  относящиеся  к  объектам  дорожного  сервиса?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19">
              <w:r>
                <w:rPr>
                  <w:rStyle w:val="ListLabel4"/>
                </w:rPr>
                <w:t>пункт  3  статьи  25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Производится  ли  в  границах  полос  отвода  автомобильной  дороги  распашка  земельных  участков,  покос  травы,  осуществление  рубок  и  повреждение  лесных  насаждений  и  иных  многолетних  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20">
              <w:r>
                <w:rPr>
                  <w:rStyle w:val="ListLabel4"/>
                </w:rPr>
                <w:t>пункт  3  статьи  25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Согласовано  ли  в  письменной  форме владельцем  автомобильной дороги  строительство,  реконструкция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информационных  щитов  и  указателей?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21">
              <w:r>
                <w:rPr>
                  <w:rStyle w:val="ListLabel4"/>
                </w:rPr>
                <w:t>пункт  8  статьи  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Содержит  ли  письменное  согласие  технические  требования  и  условия,  подлежащие  обязательному  исполнению  лицами,  осуществляющими  строительство,  реконструкцию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установку  рекламных  конструкций,  информационных  щитов  и  указателей?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hyperlink r:id="rId22">
              <w:r>
                <w:rPr>
                  <w:rStyle w:val="ListLabel4"/>
                </w:rPr>
                <w:t>пункт  8  статьи  26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Федерального  закона  от  08.11.2007  №  257-ФЗ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требования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 xml:space="preserve"> перевозки пассажиров и багажа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Ст. 19 -22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Федерального закона от 8 ноября 2007 г. № 259-ФЗ "Устав автомобильного транспорта и городского наземного электрического транспорта"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Соблюдаются ли требования к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Соблюдаются ли </w:t>
            </w:r>
            <w:r>
              <w:rPr>
                <w:rStyle w:val="Emphasis"/>
                <w:rFonts w:cs="Times New Roman" w:ascii="Times New Roman" w:hAnsi="Times New Roman"/>
                <w:i w:val="false"/>
                <w:iCs w:val="false"/>
                <w:sz w:val="24"/>
                <w:szCs w:val="24"/>
                <w:shd w:fill="FFFFFF" w:val="clear"/>
              </w:rPr>
              <w:t>Правила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br/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перевозок пассажиров и </w:t>
            </w:r>
            <w:r>
              <w:rPr>
                <w:rStyle w:val="Emphasis"/>
                <w:rFonts w:cs="Times New Roman" w:ascii="Times New Roman" w:hAnsi="Times New Roman"/>
                <w:i w:val="false"/>
                <w:iCs w:val="false"/>
                <w:sz w:val="24"/>
                <w:szCs w:val="24"/>
                <w:shd w:fill="FFFFFF" w:val="clear"/>
              </w:rPr>
              <w:t>багажа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 автомобильным транспортом и </w:t>
            </w:r>
            <w:r>
              <w:rPr>
                <w:rStyle w:val="Emphasis"/>
                <w:rFonts w:cs="Times New Roman" w:ascii="Times New Roman" w:hAnsi="Times New Roman"/>
                <w:i w:val="false"/>
                <w:iCs w:val="false"/>
                <w:sz w:val="24"/>
                <w:szCs w:val="24"/>
                <w:shd w:fill="FFFFFF" w:val="clear"/>
              </w:rPr>
              <w:t>городским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shd w:fill="FFFFFF" w:val="clear"/>
              </w:rPr>
              <w:t> </w:t>
            </w:r>
            <w:r>
              <w:rPr>
                <w:rStyle w:val="Emphasis"/>
                <w:rFonts w:cs="Times New Roman" w:ascii="Times New Roman" w:hAnsi="Times New Roman"/>
                <w:i w:val="false"/>
                <w:iCs w:val="false"/>
                <w:sz w:val="24"/>
                <w:szCs w:val="24"/>
                <w:shd w:fill="FFFFFF" w:val="clear"/>
              </w:rPr>
              <w:t>наземным</w:t>
            </w:r>
            <w:r>
              <w:rPr>
                <w:rFonts w:cs="Times New Roman" w:ascii="Times New Roman" w:hAnsi="Times New Roman"/>
                <w:i/>
                <w:iCs/>
                <w:sz w:val="24"/>
                <w:szCs w:val="24"/>
                <w:shd w:fill="FFFFFF" w:val="clear"/>
              </w:rPr>
              <w:t> </w:t>
            </w:r>
            <w:r>
              <w:rPr>
                <w:rStyle w:val="Emphasis"/>
                <w:rFonts w:cs="Times New Roman" w:ascii="Times New Roman" w:hAnsi="Times New Roman"/>
                <w:i w:val="false"/>
                <w:iCs w:val="false"/>
                <w:sz w:val="24"/>
                <w:szCs w:val="24"/>
                <w:shd w:fill="FFFFFF" w:val="clear"/>
              </w:rPr>
              <w:t>электрическим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 транспортом?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Постановление Правительства РФ от 1 октября 2020 г. № 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bidi w:val="0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</w:r>
          </w:p>
        </w:tc>
      </w:tr>
    </w:tbl>
    <w:p>
      <w:pPr>
        <w:pStyle w:val="ConsPlus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2" w:name="P376"/>
      <w:bookmarkStart w:id="3" w:name="P376"/>
      <w:bookmarkEnd w:id="3"/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tbl>
      <w:tblPr>
        <w:tblW w:w="9356" w:type="dxa"/>
        <w:jc w:val="left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0"/>
        <w:gridCol w:w="2664"/>
        <w:gridCol w:w="931"/>
        <w:gridCol w:w="2880"/>
      </w:tblGrid>
      <w:tr>
        <w:trPr/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>
              <w:rPr>
                <w:rStyle w:val="FootnoteReference"/>
                <w:rFonts w:cs="Times New Roman"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240" w:before="0" w:after="0"/>
        <w:jc w:val="center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bidi w:val="0"/>
        <w:jc w:val="both"/>
        <w:rPr/>
      </w:pPr>
      <w:r>
        <w:rPr>
          <w:rStyle w:val="Style9"/>
        </w:rPr>
        <w:footnoteRef/>
      </w:r>
      <w:r>
        <w:rPr/>
        <w:tab/>
        <w:t>В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инспекторов.</w:t>
      </w:r>
    </w:p>
  </w:footnote>
</w:footnotes>
</file>

<file path=word/settings.xml><?xml version="1.0" encoding="utf-8"?>
<w:settings xmlns:w="http://schemas.openxmlformats.org/wordprocessingml/2006/main">
  <w:zoom w:percent="54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Pr>
      <w:i/>
      <w:iCs/>
    </w:rPr>
  </w:style>
  <w:style w:type="character" w:styleId="Style9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0">
    <w:name w:val="Символ концевой сноски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ucida Sans"/>
    </w:rPr>
  </w:style>
  <w:style w:type="paragraph" w:styleId="ConsPlusNonformat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eastAsia="Times New Roman" w:cs="Calibri" w:ascii="Liberation Serif" w:hAnsi="Liberation Serif"/>
      <w:color w:val="auto"/>
      <w:kern w:val="2"/>
      <w:sz w:val="24"/>
      <w:szCs w:val="24"/>
      <w:lang w:eastAsia="zh-CN" w:val="ru-RU" w:bidi="hi-IN"/>
    </w:rPr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ravo.minjust.ru/" TargetMode="External"/><Relationship Id="rId3" Type="http://schemas.openxmlformats.org/officeDocument/2006/relationships/hyperlink" Target="http://pravo.minjust.ru/" TargetMode="External"/><Relationship Id="rId4" Type="http://schemas.openxmlformats.org/officeDocument/2006/relationships/hyperlink" Target="http://pravo.minjust.ru/" TargetMode="External"/><Relationship Id="rId5" Type="http://schemas.openxmlformats.org/officeDocument/2006/relationships/hyperlink" Target="http://pravo.minjust.ru/" TargetMode="External"/><Relationship Id="rId6" Type="http://schemas.openxmlformats.org/officeDocument/2006/relationships/hyperlink" Target="http://pravo.minjust.ru/" TargetMode="External"/><Relationship Id="rId7" Type="http://schemas.openxmlformats.org/officeDocument/2006/relationships/hyperlink" Target="http://pravo.minjust.ru/" TargetMode="External"/><Relationship Id="rId8" Type="http://schemas.openxmlformats.org/officeDocument/2006/relationships/hyperlink" Target="http://pravo.minjust.ru/" TargetMode="External"/><Relationship Id="rId9" Type="http://schemas.openxmlformats.org/officeDocument/2006/relationships/hyperlink" Target="http://pravo.minjust.ru/" TargetMode="External"/><Relationship Id="rId10" Type="http://schemas.openxmlformats.org/officeDocument/2006/relationships/hyperlink" Target="http://pravo.minjust.ru/" TargetMode="External"/><Relationship Id="rId11" Type="http://schemas.openxmlformats.org/officeDocument/2006/relationships/hyperlink" Target="http://pravo.minjust.ru/" TargetMode="External"/><Relationship Id="rId12" Type="http://schemas.openxmlformats.org/officeDocument/2006/relationships/hyperlink" Target="http://pravo.minjust.ru/" TargetMode="External"/><Relationship Id="rId13" Type="http://schemas.openxmlformats.org/officeDocument/2006/relationships/hyperlink" Target="http://pravo.minjust.ru/" TargetMode="External"/><Relationship Id="rId14" Type="http://schemas.openxmlformats.org/officeDocument/2006/relationships/hyperlink" Target="http://pravo.minjust.ru/" TargetMode="External"/><Relationship Id="rId15" Type="http://schemas.openxmlformats.org/officeDocument/2006/relationships/hyperlink" Target="http://pravo.minjust.ru/" TargetMode="External"/><Relationship Id="rId16" Type="http://schemas.openxmlformats.org/officeDocument/2006/relationships/hyperlink" Target="http://pravo.minjust.ru/" TargetMode="External"/><Relationship Id="rId17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19" Type="http://schemas.openxmlformats.org/officeDocument/2006/relationships/hyperlink" Target="http://pravo.minjust.ru/" TargetMode="External"/><Relationship Id="rId20" Type="http://schemas.openxmlformats.org/officeDocument/2006/relationships/hyperlink" Target="http://pravo.minjust.ru/" TargetMode="External"/><Relationship Id="rId21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3" Type="http://schemas.openxmlformats.org/officeDocument/2006/relationships/footnotes" Target="footnotes.xml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AlterOffice/3.4.0.8$Windows_X86_64 LibreOffice_project/8f3f3c847f0b8d6fea24e251d3d8ed4f23cbe23c</Application>
  <AppVersion>15.0000</AppVersion>
  <Pages>7</Pages>
  <Words>1200</Words>
  <Characters>10837</Characters>
  <CharactersWithSpaces>12758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2025-07-17T16:05:21Z</dcterms:created>
  <dc:creator>Валентина Алексеевна Людькова</dc:creator>
  <dc:description/>
  <dc:language>ru-RU</dc:language>
  <cp:lastModifiedBy>Валентина Алексеевна Людькова</cp:lastModifiedBy>
  <dcterms:modified xsi:type="dcterms:W3CDTF">2025-07-17T16:06:20Z</dcterms:modified>
  <cp:revision>1</cp:revision>
  <dc:subject/>
  <dc:title/>
</cp:coreProperties>
</file>